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5, 2026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 </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EZCORP,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erif" w:hAnsi="Times New Roman;serif"/>
          <w:b w:val="false"/>
          <w:color w:val="000000"/>
          <w:sz w:val="20"/>
        </w:rPr>
        <w:t>_______________________________________________________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0-19424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74-2540145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2500 Bee Cave Road, Bldg One, Suite 200, Rollingwood, Texas 78746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(512) 314-3400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NASDAQ Stock Market</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EZCORP, Inc. (“EZCORP”) issued a press release announcing its results of operations and financial condition for the quarter ended June 30, 2026. A copy of that press release is attached as Exhibit 99.1.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copy of the presentation materials that management will review during the Company’s earnings conference call (to be held on August 6, 2026) will be posted in the Investor Relations section of the company’s website at www.ezcorp.com.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tbl>
      <w:tblPr>
        <w:tblW w:w="1231" w:type="dxa"/>
        <w:jc w:val="left"/>
        <w:tblInd w:w="0" w:type="dxa"/>
        <w:tblLayout w:type="fixed"/>
        <w:tblCellMar>
          <w:top w:w="28" w:type="dxa"/>
          <w:left w:w="28" w:type="dxa"/>
          <w:bottom w:w="28" w:type="dxa"/>
          <w:right w:w="28" w:type="dxa"/>
        </w:tblCellMar>
      </w:tblPr>
      <w:tblGrid>
        <w:gridCol w:w="125"/>
        <w:gridCol w:w="110"/>
        <w:gridCol w:w="110"/>
        <w:gridCol w:w="259"/>
        <w:gridCol w:w="259"/>
        <w:gridCol w:w="36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2848"/>
        <w:gridCol w:w="2838"/>
        <w:gridCol w:w="403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3pressreleaseex991.htm">
              <w:r>
                <w:rPr>
                  <w:rStyle w:val="InternetLink"/>
                  <w:rFonts w:ascii="Times New Roman;serif" w:hAnsi="Times New Roman;serif"/>
                  <w:b w:val="false"/>
                  <w:color w:val="000080"/>
                  <w:sz w:val="20"/>
                  <w:u w:val="single"/>
                </w:rPr>
                <w:t xml:space="preserve">Press Release, dated </w:t>
              </w:r>
            </w:hyperlink>
            <w:hyperlink w:anchor="a2026-q3pressreleaseex991.htm">
              <w:r>
                <w:rPr>
                  <w:rStyle w:val="InternetLink"/>
                  <w:rFonts w:ascii="Times New Roman;serif" w:hAnsi="Times New Roman;serif"/>
                  <w:b w:val="false"/>
                  <w:color w:val="000080"/>
                  <w:sz w:val="20"/>
                  <w:u w:val="single"/>
                </w:rPr>
                <w:t>August 5</w:t>
              </w:r>
            </w:hyperlink>
            <w:hyperlink w:anchor="a2026-q3pressreleaseex991.htm">
              <w:r>
                <w:rPr>
                  <w:rStyle w:val="InternetLink"/>
                  <w:rFonts w:ascii="Times New Roman;serif" w:hAnsi="Times New Roman;serif"/>
                  <w:b w:val="false"/>
                  <w:color w:val="000080"/>
                  <w:sz w:val="20"/>
                  <w:u w:val="single"/>
                </w:rPr>
                <w:t xml:space="preserve">, 2026, announcing EZCORP, Inc.’s results of operations and financial condition for the period ended </w:t>
              </w:r>
            </w:hyperlink>
            <w:hyperlink w:anchor="a2026-q3pressreleaseex991.htm">
              <w:r>
                <w:rPr>
                  <w:rStyle w:val="InternetLink"/>
                  <w:rFonts w:ascii="Times New Roman;serif" w:hAnsi="Times New Roman;serif"/>
                  <w:b w:val="false"/>
                  <w:color w:val="000080"/>
                  <w:sz w:val="20"/>
                  <w:u w:val="single"/>
                </w:rPr>
                <w:t>June</w:t>
              </w:r>
            </w:hyperlink>
            <w:hyperlink w:anchor="a2026-q3pressreleaseex991.htm">
              <w:r>
                <w:rPr>
                  <w:rStyle w:val="InternetLink"/>
                  <w:rFonts w:ascii="Times New Roman;serif" w:hAnsi="Times New Roman;serif"/>
                  <w:b w:val="false"/>
                  <w:color w:val="000080"/>
                  <w:sz w:val="20"/>
                  <w:u w:val="single"/>
                </w:rPr>
                <w:t xml:space="preserve"> 3</w:t>
              </w:r>
            </w:hyperlink>
            <w:hyperlink w:anchor="a2026-q3pressreleaseex991.htm">
              <w:r>
                <w:rPr>
                  <w:rStyle w:val="InternetLink"/>
                  <w:rFonts w:ascii="Times New Roman;serif" w:hAnsi="Times New Roman;serif"/>
                  <w:b w:val="false"/>
                  <w:color w:val="000080"/>
                  <w:sz w:val="20"/>
                  <w:u w:val="single"/>
                </w:rPr>
                <w:t>0</w:t>
              </w:r>
            </w:hyperlink>
            <w:hyperlink w:anchor="a2026-q3pressreleaseex991.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2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109"/>
        <w:gridCol w:w="109"/>
        <w:gridCol w:w="109"/>
        <w:gridCol w:w="145"/>
        <w:gridCol w:w="145"/>
        <w:gridCol w:w="145"/>
        <w:gridCol w:w="145"/>
        <w:gridCol w:w="145"/>
        <w:gridCol w:w="145"/>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drawing>
          <wp:inline distT="0" distB="0" distL="0" distR="0">
            <wp:extent cx="222885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180" w:after="283"/>
        <w:jc w:val="center"/>
        <w:rPr>
          <w:rFonts w:ascii="Arial Narrow;sans-serif" w:hAnsi="Arial Narrow;sans-serif"/>
          <w:b/>
          <w:color w:val="000000"/>
          <w:sz w:val="28"/>
        </w:rPr>
      </w:pPr>
      <w:r>
        <w:rPr>
          <w:rFonts w:ascii="Arial Narrow;sans-serif" w:hAnsi="Arial Narrow;sans-serif"/>
          <w:b/>
          <w:color w:val="000000"/>
          <w:sz w:val="28"/>
        </w:rPr>
        <w:t>EZCORP Reports Third Quarter Fiscal 2026 Results</w:t>
      </w:r>
    </w:p>
    <w:p>
      <w:pPr>
        <w:pStyle w:val="TextBody"/>
        <w:bidi w:val="0"/>
        <w:spacing w:lineRule="auto" w:line="276" w:before="0" w:after="0"/>
        <w:jc w:val="center"/>
        <w:rPr>
          <w:rFonts w:ascii="Arial Narrow;sans-serif" w:hAnsi="Arial Narrow;sans-serif"/>
          <w:b/>
          <w:color w:val="000000"/>
          <w:sz w:val="20"/>
        </w:rPr>
      </w:pPr>
      <w:r>
        <w:rPr>
          <w:rFonts w:ascii="Arial Narrow;sans-serif" w:hAnsi="Arial Narrow;sans-serif"/>
          <w:b/>
          <w:color w:val="000000"/>
          <w:sz w:val="20"/>
        </w:rPr>
        <w:t>Record PLO Drives Exceptional Growth in Adjusted EBITDA and EPS</w:t>
      </w:r>
    </w:p>
    <w:p>
      <w:pPr>
        <w:pStyle w:val="TextBody"/>
        <w:bidi w:val="0"/>
        <w:spacing w:before="0" w:after="0"/>
        <w:jc w:val="left"/>
        <w:rPr/>
      </w:pPr>
      <w:r>
        <w:rPr/>
      </w:r>
    </w:p>
    <w:p>
      <w:pPr>
        <w:pStyle w:val="TextBody"/>
        <w:bidi w:val="0"/>
        <w:spacing w:lineRule="auto" w:line="288" w:before="240" w:after="283"/>
        <w:jc w:val="left"/>
        <w:rPr/>
      </w:pPr>
      <w:r>
        <w:rPr>
          <w:rFonts w:ascii="Arial Narrow;sans-serif" w:hAnsi="Arial Narrow;sans-serif"/>
          <w:b/>
          <w:color w:val="000000"/>
          <w:sz w:val="20"/>
        </w:rPr>
        <w:t xml:space="preserve">Austin, Texas (August 5, 2026) — </w:t>
      </w:r>
      <w:r>
        <w:rPr>
          <w:rFonts w:ascii="Arial Narrow;sans-serif" w:hAnsi="Arial Narrow;sans-serif"/>
          <w:b w:val="false"/>
          <w:color w:val="000000"/>
          <w:sz w:val="20"/>
        </w:rPr>
        <w:t>EZCORP, Inc. (NASDAQ: EZPW), a leading provider of pawn transactions in the United States, Latin America and the Caribbean, today announced results for its third quarter ended June 30, 2026.</w:t>
      </w:r>
    </w:p>
    <w:p>
      <w:pPr>
        <w:pStyle w:val="TextBody"/>
        <w:bidi w:val="0"/>
        <w:spacing w:lineRule="auto" w:line="288" w:before="180" w:after="283"/>
        <w:jc w:val="left"/>
        <w:rPr>
          <w:rFonts w:ascii="Arial Narrow;sans-serif" w:hAnsi="Arial Narrow;sans-serif"/>
          <w:b w:val="false"/>
          <w:i/>
          <w:color w:val="000000"/>
          <w:sz w:val="18"/>
        </w:rPr>
      </w:pPr>
      <w:r>
        <w:rPr>
          <w:rFonts w:ascii="Arial Narrow;sans-serif" w:hAnsi="Arial Narrow;sans-serif"/>
          <w:b w:val="false"/>
          <w:i/>
          <w:color w:val="000000"/>
          <w:sz w:val="18"/>
        </w:rPr>
        <w:t>Unless otherwise noted, all amounts in this release are in conformity with U.S. generally accepted accounting principles (“GAAP”) and comparisons shown are to the same period in the prior year.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THIRD QUARTER HIGHLIGHTS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income attributable to EZCORP increased 44% to $38.2 million. On an adjusted basis</w:t>
      </w:r>
      <w:r>
        <w:rPr>
          <w:rFonts w:ascii="Arial Narrow;sans-serif" w:hAnsi="Arial Narrow;sans-serif"/>
          <w:b w:val="false"/>
          <w:color w:val="000000"/>
          <w:sz w:val="13"/>
        </w:rPr>
        <w:t>1</w:t>
      </w:r>
      <w:r>
        <w:rPr>
          <w:rFonts w:ascii="Arial Narrow;sans-serif" w:hAnsi="Arial Narrow;sans-serif"/>
          <w:b w:val="false"/>
          <w:color w:val="000000"/>
          <w:sz w:val="20"/>
        </w:rPr>
        <w:t>, net income attributable to EZCORP increased 52% to $37.2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(EPS) increased 41% to $0.48. On an adjusted basis</w:t>
      </w:r>
      <w:r>
        <w:rPr>
          <w:rFonts w:ascii="Arial Narrow;sans-serif" w:hAnsi="Arial Narrow;sans-serif"/>
          <w:b w:val="false"/>
          <w:color w:val="000000"/>
          <w:sz w:val="13"/>
        </w:rPr>
        <w:t>1</w:t>
      </w:r>
      <w:r>
        <w:rPr>
          <w:rFonts w:ascii="Arial Narrow;sans-serif" w:hAnsi="Arial Narrow;sans-serif"/>
          <w:b w:val="false"/>
          <w:color w:val="000000"/>
          <w:sz w:val="20"/>
        </w:rPr>
        <w:t>, diluted earnings per share increased 47% to $0.47.</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Adjusted EBITDA increased 48% to $65.6 million.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35% to $418.7 million, while gross profit increased 34% to $246.2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Pawn loans outstanding (PLO) increased 33% to $387.2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We acquired the remaining interest in Founders and SMG in a series of transactions throughout the third quarter and July 2026.</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We grew our footprint by 43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CEO COMMENTARY AND OUTLOOK</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Lachie Given, Chief Executive Officer, stated, “This was another outstanding quarter for EZCORP, one of the strongest in our history. PLO reached a new high of $387.2 million, adjusted EBITDA increased 48%, and diluted EPS rose 41%. The gains were well balanced in all of our geographies across lending, merchandise sales and margin, gold scrap and profitability. Importantly, excluding scrap, gross profit increased 32%, underscoring the depth, durability and trajectory of our business. </w:t>
      </w:r>
    </w:p>
    <w:p>
      <w:pPr>
        <w:pStyle w:val="TextBody"/>
        <w:bidi w:val="0"/>
        <w:spacing w:lineRule="auto" w:line="288" w:before="120" w:after="283"/>
        <w:jc w:val="left"/>
        <w:rPr>
          <w:color w:val="000000"/>
        </w:rPr>
      </w:pPr>
      <w:r>
        <w:rPr>
          <w:color w:val="000000"/>
        </w:rPr>
        <w:t>“</w:t>
      </w:r>
      <w:r>
        <w:rPr>
          <w:rFonts w:ascii="Arial Narrow;sans-serif" w:hAnsi="Arial Narrow;sans-serif"/>
          <w:b w:val="false"/>
          <w:color w:val="000000"/>
          <w:sz w:val="20"/>
        </w:rPr>
        <w:t xml:space="preserve">A key highlight for the quarter has been the outstanding performance of our Latin American business, with segment contribution growing 56%, underpinned by excellent operating metrics across all measures. We also expanded our scale in the region, acquiring 33 new stores in Guatemala, furthering our leadership position there, and opened 9 de novo stores. Additionally, shortly after June 30, we acquired all of the remaining minority interests in SMG, which operates 108 stores across 12 countries. Our view on SMG has strengthened further as we see considerable opportunity in introducing EZCORP’s systems, operating disciplines, culture and capital across the platform. </w:t>
      </w:r>
    </w:p>
    <w:p>
      <w:pPr>
        <w:pStyle w:val="TextBody"/>
        <w:bidi w:val="0"/>
        <w:spacing w:lineRule="auto" w:line="288" w:before="120" w:after="283"/>
        <w:jc w:val="left"/>
        <w:rPr>
          <w:color w:val="000000"/>
        </w:rPr>
      </w:pPr>
      <w:r>
        <w:rPr>
          <w:color w:val="000000"/>
        </w:rPr>
        <w:t>“</w:t>
      </w:r>
      <w:r>
        <w:rPr>
          <w:rFonts w:ascii="Arial Narrow;sans-serif" w:hAnsi="Arial Narrow;sans-serif"/>
          <w:b w:val="false"/>
          <w:color w:val="000000"/>
          <w:sz w:val="20"/>
        </w:rPr>
        <w:t>We enter the final quarter of fiscal 2026 in a very strong operating and financial position. I am proud of what our team has accomplished so far this year and sincerely thank them for their tireless work in serving our customers with passion, dignity and respect. I look forward to continuing to build value for our shareholders in what has been an exceptionally strong year for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CONSOLIDATED RESULTS</w:t>
      </w:r>
    </w:p>
    <w:tbl>
      <w:tblPr>
        <w:tblW w:w="7500" w:type="dxa"/>
        <w:jc w:val="left"/>
        <w:tblInd w:w="0" w:type="dxa"/>
        <w:tblLayout w:type="fixed"/>
        <w:tblCellMar>
          <w:top w:w="28" w:type="dxa"/>
          <w:left w:w="28" w:type="dxa"/>
          <w:bottom w:w="28" w:type="dxa"/>
          <w:right w:w="28" w:type="dxa"/>
        </w:tblCellMar>
      </w:tblPr>
      <w:tblGrid>
        <w:gridCol w:w="1204"/>
        <w:gridCol w:w="1061"/>
        <w:gridCol w:w="1065"/>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18"/>
              </w:rPr>
            </w:pPr>
            <w:r>
              <w:rPr>
                <w:rFonts w:ascii="Arial Narrow;sans-serif" w:hAnsi="Arial Narrow;sans-serif"/>
                <w:b/>
                <w:color w:val="000000"/>
                <w:sz w:val="18"/>
              </w:rPr>
              <w:t>Three Months Ended June 30,</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EZCORP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share attributable to EZCORP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 (non-GAAP measure)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PLO increased 33% to $387.2 million (18% on a same-store</w:t>
      </w:r>
      <w:r>
        <w:rPr>
          <w:rFonts w:ascii="Arial Narrow;sans-serif" w:hAnsi="Arial Narrow;sans-serif"/>
          <w:b w:val="false"/>
          <w:color w:val="000000"/>
          <w:sz w:val="13"/>
        </w:rPr>
        <w:t>2</w:t>
      </w:r>
      <w:r>
        <w:rPr>
          <w:color w:val="000000"/>
        </w:rPr>
        <w:t xml:space="preserve"> </w:t>
      </w:r>
      <w:r>
        <w:rPr>
          <w:rFonts w:ascii="Arial Narrow;sans-serif" w:hAnsi="Arial Narrow;sans-serif"/>
          <w:b w:val="false"/>
          <w:color w:val="000000"/>
          <w:sz w:val="20"/>
        </w:rPr>
        <w:t>basis), primarily due to higher average loan size and continued strong pawn demand.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35% and gross profit increased 34%, reflecting improved pawn service charges (PSC), merchandise sales, and jewelry scrap sales. Excluding SMG, total revenues increased 21% and gross profit increased 22%.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32% as a result of higher average PLO and additional stores.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Merchandise sales gross margin increased to 38% from 36%, while aged general merchandise decreased 132 basis points (bps) to 1.3% of total general merchandise inventory.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Jewelry scrap sales increased 110% due to the increase in gold price and jewelry purchases, and jewelry scrap sales gross margin decreased from 29% to 26%.</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40% (21% on a same-store basis) due to an increase in PLO, layaways and purchases. Inventory turnover down to 2.3x, from 2.4x.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30% (12% on a same-store basis), primarily due to labor costs, including minimum wage increases in Latin America.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General and administrative expenses increased 24%, primarily due to labor costs (including higher incentive compensation) and expenses associated with SMG.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Income before taxes increased to $52.0 million, up 50% from $34.7 million, and adjusted EBITDA increased 48% to $65.6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increased 41% to $0.48. On an adjusted basis, diluted earnings per share increased 47% to $0.47.</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Cash and cash equivalents decreased to $311.0 million from $472.1 million as of June 30, 2025. The decrease was primarily driven by the retirement of SMG’s existing third-party indebtedness of $134.2 million and cash used for acquisitions.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U.S.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increased 15% to $254.5 million (13% on a same-store basis) due to an increase in average loan size and continued strong loan demand.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and gross profit increased 14%, driven by increased jewelry scrap sales, PSC, and merchandise sales.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13%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increased 6% (3% on a same-store basis), and sales gross margin increased by 130 bps to 40%.</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Jewelry scrap sales increased 57% due to the increase in gold price and jewelry purchases, and jewelry scrap sales gross margin decreased from 29% to 27%.</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Net inventory increased 28% (24% on a same-store basis) due to increase in PLO, layaways and purchases; inventory turnover remained consistent at 2.0x. Aged general merchandise decreased by 90 bps to 1.9%, or $0.7 million of total general merchandise inventory.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8% (6% on a same-store basis), primarily due to increased labor, in line with store activity.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24% to $61.6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to 560 due to the acquisition of 1 store during the quarter.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Latin America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increased 40% to $98.9 million (33% on constant currency basis). On a same-store basis, PLO increased 35% (28% increase on a constant currency basis) due to strong loan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37% (25% on constant currency basis), and gross profit increased 44% (32% on a constant currency basis), primarily due to increased jewelry scrap sales, PSC and merchandise sales.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to $42.9 million, an increase of 37% (26% on a constant currency basis)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Merchandise sales increased 31% (20% on constant currency basis) and 21% on a same-store basis (11% increase on a constant currency basis). Merchandise sales gross margin increased to 36% from 31%.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Jewelry scrap sales increased 138% due to the increase in gold price, and jewelry scrap sales gross margin decreased from 29% to 26%.</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27% (21% on a constant currency basis) due to an increase in PLO. Inventory turnover remained consistent at 3.1x. On a same-store basis, net inventory increased by 11% (5% on a constant currency basis). Aged general merchandise remained below 1% of total general merchandise inventory.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38% (27% on a constant currency basis) and increased 28% on a same-store basis (17% on a constant currency basis) due to increased labor, in line with store activity and minimum wage increases.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56% to $24.8 million (43% on a constant currency basis to $22.8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Segment store count increased by 41 stores to 881 during the quarter due to 33 acquired stores and 9 de novo stores, partially offset by 1 store consolidation.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SMG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During the third quarter of fiscal 2026, we acquired the remaining membership interests in Founders, resulting in 100% ownership, and increased our ownership of SMG to 97.4%. In July 2026, we acquired the remaining shares of SMG, making it wholly owned. As SMG was not owned during the comparable prior-year period, results are presented on an absolute basis without year-over-year comparisons.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of $33.8 million and net inventory of $28.9 million, with aged general merchandise at 1.1% of total general merchandise inventory.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were $43.1 million, comprised of merchandise sales of $17.1 million (with a margin of 31%), PSC of $14.3 million, and jewelry scrap sales of $11.7 million (with a margin of 24%).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totaled $16.0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was $5.9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to 108 due to the addition of 1 de novo store.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FORM 10-Q</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EZCORP’s Quarterly Report on Form 10-Q for the quarter ended June 30, 2026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CONFERENCE CALL</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will host a conference call on Thursday, August 6, 2026, at 8:00 am Central Time to discuss Third Quarter Fiscal 2026 results. Analysts and institutional investors may participate on the conference call by registering online at https://register-conf.media-server.com/register/BI0b21f04d441c43378152bf0ac5860ad3. Once registered you will receive the dial-in details with a unique PIN to join the call. The conference call will be webcast simultaneously to the public through this link: https://edge.media-server.com/mmc/p/74c6ptw7. A replay of the conference call will be available online at http://investors.ezcorp.com shortly after the end of the call.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ABOUT EZCORP</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Formed in 1989, EZCORP is a leading provider of pawn transactions in the United States, Latin America and the Caribbean.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Follow us on social media:</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Facebook EZPAWN Official https://www.facebook.com/EZPAWN/</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Instagram Official https://www.instagram.com/ezcorp_official/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EZPAWN Instagram Official https://www.instagram.com/ezpawnofficial/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LinkedIn https://www.linkedin.com/company/ezcorp/</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FORWARD 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pandemics.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bidi w:val="0"/>
        <w:spacing w:lineRule="auto" w:line="288" w:before="120" w:after="283"/>
        <w:jc w:val="left"/>
        <w:rPr>
          <w:rFonts w:ascii="Arial Narrow;sans-serif" w:hAnsi="Arial Narrow;sans-serif"/>
          <w:b/>
          <w:color w:val="000000"/>
          <w:sz w:val="20"/>
        </w:rPr>
      </w:pPr>
      <w:r>
        <w:rPr>
          <w:rFonts w:ascii="Arial Narrow;sans-serif" w:hAnsi="Arial Narrow;sans-serif"/>
          <w:b/>
          <w:color w:val="000000"/>
          <w:sz w:val="20"/>
        </w:rPr>
        <w:t>Contact: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Email: Investor_Relations@ezcorp.com</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Phone: (512) 314-2220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i/>
          <w:color w:val="000000"/>
          <w:sz w:val="16"/>
        </w:rPr>
        <w:t>Note: Percentages are calculated from the underlying numbers in thousands and, as a result, may not agree to the percentages calculated from numbers in millions. Numbers may not foot or cross foot due to rounding.</w:t>
        <w:br/>
      </w:r>
      <w:r>
        <w:rPr>
          <w:rFonts w:ascii="Times New Roman;serif" w:hAnsi="Times New Roman;serif"/>
          <w:b w:val="false"/>
          <w:i/>
          <w:color w:val="000000"/>
          <w:sz w:val="10"/>
        </w:rPr>
        <w:t>1</w:t>
      </w:r>
      <w:r>
        <w:rPr>
          <w:color w:val="000000"/>
        </w:rPr>
        <w:t>“</w:t>
      </w:r>
      <w:r>
        <w:rPr>
          <w:rFonts w:ascii="Times New Roman;serif" w:hAnsi="Times New Roman;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pStyle w:val="TextBody"/>
        <w:bidi w:val="0"/>
        <w:spacing w:lineRule="auto" w:line="276" w:before="0" w:after="0"/>
        <w:jc w:val="left"/>
        <w:rPr/>
      </w:pPr>
      <w:r>
        <w:rPr>
          <w:rFonts w:ascii="Times New Roman;serif" w:hAnsi="Times New Roman;serif"/>
          <w:b w:val="false"/>
          <w:i/>
          <w:color w:val="000000"/>
          <w:sz w:val="10"/>
        </w:rPr>
        <w:t>2</w:t>
      </w:r>
      <w:r>
        <w:rPr>
          <w:color w:val="000000"/>
        </w:rPr>
        <w:t>“</w:t>
      </w:r>
      <w:r>
        <w:rPr>
          <w:rFonts w:ascii="Times New Roman;serif" w:hAnsi="Times New Roman;serif"/>
          <w:b w:val="false"/>
          <w:i/>
          <w:color w:val="000000"/>
          <w:sz w:val="16"/>
        </w:rPr>
        <w:t>Same-store” basis, which is a financial measure, includes stores open the entirety of the comparable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OPERATIONS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9207" w:type="dxa"/>
        <w:jc w:val="left"/>
        <w:tblInd w:w="0" w:type="dxa"/>
        <w:tblLayout w:type="fixed"/>
        <w:tblCellMar>
          <w:top w:w="28" w:type="dxa"/>
          <w:left w:w="28" w:type="dxa"/>
          <w:bottom w:w="28" w:type="dxa"/>
          <w:right w:w="28" w:type="dxa"/>
        </w:tblCellMar>
      </w:tblPr>
      <w:tblGrid>
        <w:gridCol w:w="1490"/>
        <w:gridCol w:w="1307"/>
        <w:gridCol w:w="1313"/>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w:t>
              <w:br/>
              <w:t>June 30,</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246,187 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729,191 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335,385 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191,367 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545,920 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435,311 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112,184 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176,666 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110,509 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132,382 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EZCORP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131,606 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share attributable to EZCORP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share attributable to EZCORP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BALANCE SHEETS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232"/>
        <w:gridCol w:w="1815"/>
        <w:gridCol w:w="1823"/>
        <w:gridCol w:w="109"/>
        <w:gridCol w:w="109"/>
        <w:gridCol w:w="109"/>
        <w:gridCol w:w="181"/>
        <w:gridCol w:w="766"/>
        <w:gridCol w:w="109"/>
        <w:gridCol w:w="109"/>
        <w:gridCol w:w="109"/>
        <w:gridCol w:w="109"/>
        <w:gridCol w:w="181"/>
        <w:gridCol w:w="766"/>
        <w:gridCol w:w="109"/>
        <w:gridCol w:w="109"/>
        <w:gridCol w:w="109"/>
        <w:gridCol w:w="109"/>
        <w:gridCol w:w="203"/>
        <w:gridCol w:w="863"/>
        <w:gridCol w:w="176"/>
      </w:tblGrid>
      <w:tr>
        <w:trPr/>
        <w:tc>
          <w:tcPr>
            <w:tcW w:w="223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69" w:type="dxa"/>
            <w:gridSpan w:val="6"/>
            <w:tcBorders/>
          </w:tcPr>
          <w:p>
            <w:pPr>
              <w:pStyle w:val="TableContents"/>
              <w:bidi w:val="0"/>
              <w:spacing w:before="0" w:after="283"/>
              <w:jc w:val="left"/>
              <w:rPr>
                <w:sz w:val="4"/>
                <w:szCs w:val="4"/>
              </w:rPr>
            </w:pPr>
            <w:r>
              <w:rPr>
                <w:sz w:val="4"/>
                <w:szCs w:val="4"/>
              </w:rPr>
            </w:r>
          </w:p>
        </w:tc>
      </w:tr>
      <w:tr>
        <w:trPr/>
        <w:tc>
          <w:tcPr>
            <w:tcW w:w="5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469,524 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307,496 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48,733 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248,457 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1,116,541 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1,087,647 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1,125,956 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75,331 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236,462 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324,889 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58,832 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2,166,233 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1,883,068 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232,097 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172,275 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200,572 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184,736 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19,769 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998,528 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893,010 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925,724 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100,000,000; issued and outstanding: 58,503,051 as of June 30, 2026; 57,992,965 as of June 30, 2025; 57,921,451 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3,000,000; issued and outstanding: 2,970,171 as of June 30, 2026, June 30, 2025 and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450,892 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612,687 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(38,703)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EZCORP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1,164,582 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990,058 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1,167,705 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990,058 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2,166,233 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1,883,068 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7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CASH FLOWS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7895" w:type="dxa"/>
        <w:jc w:val="left"/>
        <w:tblInd w:w="0" w:type="dxa"/>
        <w:tblLayout w:type="fixed"/>
        <w:tblCellMar>
          <w:top w:w="28" w:type="dxa"/>
          <w:left w:w="28" w:type="dxa"/>
          <w:bottom w:w="28" w:type="dxa"/>
          <w:right w:w="28" w:type="dxa"/>
        </w:tblCellMar>
      </w:tblPr>
      <w:tblGrid>
        <w:gridCol w:w="1926"/>
        <w:gridCol w:w="1697"/>
        <w:gridCol w:w="1701"/>
        <w:gridCol w:w="109"/>
        <w:gridCol w:w="109"/>
        <w:gridCol w:w="109"/>
        <w:gridCol w:w="181"/>
        <w:gridCol w:w="646"/>
        <w:gridCol w:w="109"/>
        <w:gridCol w:w="109"/>
        <w:gridCol w:w="109"/>
        <w:gridCol w:w="109"/>
        <w:gridCol w:w="181"/>
        <w:gridCol w:w="646"/>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from investment in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from remeasurement of previously held equity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(58,023)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130,388 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97,730 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(948,262)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(738,670)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417,734 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291,903 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of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(125,466)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(66,040)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(134,151)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 of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(164,160)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275,606 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(158,015)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326,698 </w:t>
            </w:r>
          </w:p>
        </w:tc>
        <w:tc>
          <w:tcPr>
            <w:tcW w:w="109"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487,077 </w:t>
            </w:r>
          </w:p>
        </w:tc>
        <w:tc>
          <w:tcPr>
            <w:tcW w:w="154"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8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OPERATING SEGMENT RESULTS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lineRule="auto" w:line="288" w:before="280" w:after="283"/>
        <w:jc w:val="left"/>
        <w:rPr>
          <w:rFonts w:ascii="Arial Narrow;sans-serif" w:hAnsi="Arial Narrow;sans-serif"/>
          <w:b w:val="false"/>
          <w:color w:val="000000"/>
          <w:sz w:val="20"/>
        </w:rPr>
      </w:pPr>
      <w:r>
        <w:rPr>
          <w:rFonts w:ascii="Arial Narrow;sans-serif" w:hAnsi="Arial Narrow;sans-serif"/>
          <w:b w:val="false"/>
          <w:color w:val="000000"/>
          <w:sz w:val="20"/>
        </w:rPr>
        <w:t>As a result of the acquisition of Founders One, LLC and its subsidiary Simple Management Group, Inc. effective January 2, 2026, the composition of our reportable segments changed beginning in the second quarter of fiscal 2026. SMG is now reported as a standalone reportable segment. Our equity interest in Cash Converters International Limited is now included within Corporate. Prior period segment information has been recast to reclassify Cash Converters equity income and interest income from notes receivable from Founders from the 'Other Investments' segment to Corporate. Because SMG was not a consolidated subsidiary in any prior period presented, no prior period SMG segment results exist.</w:t>
      </w:r>
    </w:p>
    <w:tbl>
      <w:tblPr>
        <w:tblW w:w="10205" w:type="dxa"/>
        <w:jc w:val="left"/>
        <w:tblInd w:w="0" w:type="dxa"/>
        <w:tblLayout w:type="fixed"/>
        <w:tblCellMar>
          <w:top w:w="28" w:type="dxa"/>
          <w:left w:w="28" w:type="dxa"/>
          <w:bottom w:w="28" w:type="dxa"/>
          <w:right w:w="28" w:type="dxa"/>
        </w:tblCellMar>
      </w:tblPr>
      <w:tblGrid>
        <w:gridCol w:w="816"/>
        <w:gridCol w:w="654"/>
        <w:gridCol w:w="624"/>
        <w:gridCol w:w="109"/>
        <w:gridCol w:w="109"/>
        <w:gridCol w:w="109"/>
        <w:gridCol w:w="181"/>
        <w:gridCol w:w="646"/>
        <w:gridCol w:w="109"/>
        <w:gridCol w:w="109"/>
        <w:gridCol w:w="109"/>
        <w:gridCol w:w="109"/>
        <w:gridCol w:w="248"/>
        <w:gridCol w:w="785"/>
        <w:gridCol w:w="149"/>
        <w:gridCol w:w="109"/>
        <w:gridCol w:w="109"/>
        <w:gridCol w:w="109"/>
        <w:gridCol w:w="181"/>
        <w:gridCol w:w="571"/>
        <w:gridCol w:w="109"/>
        <w:gridCol w:w="109"/>
        <w:gridCol w:w="109"/>
        <w:gridCol w:w="109"/>
        <w:gridCol w:w="205"/>
        <w:gridCol w:w="732"/>
        <w:gridCol w:w="123"/>
        <w:gridCol w:w="109"/>
        <w:gridCol w:w="109"/>
        <w:gridCol w:w="109"/>
        <w:gridCol w:w="211"/>
        <w:gridCol w:w="699"/>
        <w:gridCol w:w="127"/>
        <w:gridCol w:w="109"/>
        <w:gridCol w:w="109"/>
        <w:gridCol w:w="109"/>
        <w:gridCol w:w="196"/>
        <w:gridCol w:w="701"/>
        <w:gridCol w:w="176"/>
      </w:tblGrid>
      <w:tr>
        <w:trPr/>
        <w:tc>
          <w:tcPr>
            <w:tcW w:w="81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 2026</w:t>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73,776 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209,655 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209,655 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7,670 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56,575 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56,575 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42,949 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152,475 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152,475 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251,231 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124,409 </w:t>
            </w:r>
          </w:p>
        </w:tc>
        <w:tc>
          <w:tcPr>
            <w:tcW w:w="1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43,108 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418,748 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418,748 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47,477 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130,755 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130,755 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152,518 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71,231 </w:t>
            </w:r>
          </w:p>
        </w:tc>
        <w:tc>
          <w:tcPr>
            <w:tcW w:w="1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22,438 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246,187 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246,187 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43,633 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147,693 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147,693 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33,999 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33,999 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9,650 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(2,786)</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(2,786)</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61,643 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24,809 </w:t>
            </w:r>
          </w:p>
        </w:tc>
        <w:tc>
          <w:tcPr>
            <w:tcW w:w="14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92,386 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92,386 </w:t>
            </w:r>
          </w:p>
        </w:tc>
        <w:tc>
          <w:tcPr>
            <w:tcW w:w="12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(40,377)</w:t>
            </w:r>
          </w:p>
        </w:tc>
        <w:tc>
          <w:tcPr>
            <w:tcW w:w="127"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52,009 </w:t>
            </w:r>
          </w:p>
        </w:tc>
        <w:tc>
          <w:tcPr>
            <w:tcW w:w="17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jc w:val="left"/>
        <w:rPr/>
      </w:pPr>
      <w:r>
        <w:rPr/>
      </w:r>
    </w:p>
    <w:p>
      <w:pPr>
        <w:pStyle w:val="TextBody"/>
        <w:bidi w:val="0"/>
        <w:spacing w:before="2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21"/>
        <w:gridCol w:w="870"/>
        <w:gridCol w:w="856"/>
        <w:gridCol w:w="109"/>
        <w:gridCol w:w="109"/>
        <w:gridCol w:w="109"/>
        <w:gridCol w:w="181"/>
        <w:gridCol w:w="646"/>
        <w:gridCol w:w="109"/>
        <w:gridCol w:w="109"/>
        <w:gridCol w:w="109"/>
        <w:gridCol w:w="109"/>
        <w:gridCol w:w="282"/>
        <w:gridCol w:w="893"/>
        <w:gridCol w:w="170"/>
        <w:gridCol w:w="109"/>
        <w:gridCol w:w="109"/>
        <w:gridCol w:w="109"/>
        <w:gridCol w:w="109"/>
        <w:gridCol w:w="109"/>
        <w:gridCol w:w="217"/>
        <w:gridCol w:w="776"/>
        <w:gridCol w:w="131"/>
        <w:gridCol w:w="109"/>
        <w:gridCol w:w="109"/>
        <w:gridCol w:w="109"/>
        <w:gridCol w:w="227"/>
        <w:gridCol w:w="764"/>
        <w:gridCol w:w="137"/>
        <w:gridCol w:w="109"/>
        <w:gridCol w:w="109"/>
        <w:gridCol w:w="109"/>
        <w:gridCol w:w="196"/>
        <w:gridCol w:w="701"/>
        <w:gridCol w:w="175"/>
      </w:tblGrid>
      <w:tr>
        <w:trPr/>
        <w:tc>
          <w:tcPr>
            <w:tcW w:w="10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 2025</w:t>
            </w:r>
          </w:p>
        </w:tc>
        <w:tc>
          <w:tcPr>
            <w:tcW w:w="1399" w:type="dxa"/>
            <w:gridSpan w:val="6"/>
            <w:tcBorders/>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56,375 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31,409 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219,960 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91,021 </w:t>
            </w:r>
          </w:p>
        </w:tc>
        <w:tc>
          <w:tcPr>
            <w:tcW w:w="1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39,142 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134,062 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49,577 </w:t>
            </w:r>
          </w:p>
        </w:tc>
        <w:tc>
          <w:tcPr>
            <w:tcW w:w="1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31,539 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113,382 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113,382 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27,521 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27,521 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Interest income </w:t>
            </w:r>
            <w:r>
              <w:rPr>
                <w:rFonts w:ascii="Arial Narrow;sans-serif" w:hAnsi="Arial Narrow;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 in net income of unconsolidated affiliates </w:t>
            </w:r>
            <w:r>
              <w:rPr>
                <w:rFonts w:ascii="Arial Narrow;sans-serif" w:hAnsi="Arial Narrow;sans-serif"/>
                <w:b w:val="false"/>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49,568 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15,894 </w:t>
            </w:r>
          </w:p>
        </w:tc>
        <w:tc>
          <w:tcPr>
            <w:tcW w:w="1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65,462 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65,462 </w:t>
            </w:r>
          </w:p>
        </w:tc>
        <w:tc>
          <w:tcPr>
            <w:tcW w:w="13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4"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(30,749)</w:t>
            </w:r>
          </w:p>
        </w:tc>
        <w:tc>
          <w:tcPr>
            <w:tcW w:w="137"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34,713 </w:t>
            </w:r>
          </w:p>
        </w:tc>
        <w:tc>
          <w:tcPr>
            <w:tcW w:w="175"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70"/>
        <w:gridCol w:w="40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Interest income includes $0.6 million of interest income from notes receivable from Founders, which has been recast from the "Other Investments" segment to Corporate to conform to the current period presentation.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Equity in net income of unconsolidated affiliates includes $1.4 million of equity income from CCV, which has been recast from the "Other Investments" segment to Corporate to conform to the current period presentation.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13"/>
        <w:gridCol w:w="646"/>
        <w:gridCol w:w="613"/>
        <w:gridCol w:w="109"/>
        <w:gridCol w:w="109"/>
        <w:gridCol w:w="109"/>
        <w:gridCol w:w="181"/>
        <w:gridCol w:w="646"/>
        <w:gridCol w:w="109"/>
        <w:gridCol w:w="109"/>
        <w:gridCol w:w="109"/>
        <w:gridCol w:w="109"/>
        <w:gridCol w:w="230"/>
        <w:gridCol w:w="823"/>
        <w:gridCol w:w="138"/>
        <w:gridCol w:w="109"/>
        <w:gridCol w:w="109"/>
        <w:gridCol w:w="109"/>
        <w:gridCol w:w="181"/>
        <w:gridCol w:w="571"/>
        <w:gridCol w:w="109"/>
        <w:gridCol w:w="109"/>
        <w:gridCol w:w="109"/>
        <w:gridCol w:w="109"/>
        <w:gridCol w:w="202"/>
        <w:gridCol w:w="724"/>
        <w:gridCol w:w="122"/>
        <w:gridCol w:w="109"/>
        <w:gridCol w:w="109"/>
        <w:gridCol w:w="109"/>
        <w:gridCol w:w="200"/>
        <w:gridCol w:w="742"/>
        <w:gridCol w:w="120"/>
        <w:gridCol w:w="109"/>
        <w:gridCol w:w="109"/>
        <w:gridCol w:w="109"/>
        <w:gridCol w:w="196"/>
        <w:gridCol w:w="701"/>
        <w:gridCol w:w="176"/>
      </w:tblGrid>
      <w:tr>
        <w:trPr/>
        <w:tc>
          <w:tcPr>
            <w:tcW w:w="81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 June 30, 2026</w:t>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213,643 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634,267 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634,267 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18,704 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177,724 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177,724 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117,668 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435,520 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435,520 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803,167 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350,062 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94,419 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1,247,648 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1,247,648 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139,773 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400,299 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400,299 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12,771 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118,158 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118,158 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483,098 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197,518 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48,575 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729,191 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729,191 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125,762 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422,584 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422,584 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95,230 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95,230 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17,837 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10,157 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27,994 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24,873 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24,873 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Interest income </w:t>
            </w:r>
            <w:r>
              <w:rPr>
                <w:rFonts w:ascii="Arial Narrow;sans-serif" w:hAnsi="Arial Narrow;sans-serif"/>
                <w:b w:val="false"/>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(10,187)</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 in net income of unconsolidated affiliates </w:t>
            </w:r>
            <w:r>
              <w:rPr>
                <w:rFonts w:ascii="Arial Narrow;sans-serif" w:hAnsi="Arial Narrow;sans-serif"/>
                <w:b w:val="false"/>
                <w:color w:val="000000"/>
                <w:sz w:val="1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(3,197)</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210,456 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64,065 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14,745 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289,266 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289,266 </w:t>
            </w:r>
          </w:p>
        </w:tc>
        <w:tc>
          <w:tcPr>
            <w:tcW w:w="122"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(112,600)</w:t>
            </w:r>
          </w:p>
        </w:tc>
        <w:tc>
          <w:tcPr>
            <w:tcW w:w="120"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176,666 </w:t>
            </w:r>
          </w:p>
        </w:tc>
        <w:tc>
          <w:tcPr>
            <w:tcW w:w="17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11"/>
        <w:gridCol w:w="2866"/>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Interest income includes $1.0 million of interest income from notes receivable from Founders recorded in the first quarter of fiscal 2026, which has been recast from the "Other Investments" segment to Corporate to conform to the current period presentation.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Equity in net income of unconsolidated affiliates includes $1.8 million of equity income from CCV recorded in the first quarter of fiscal 2026, which has been recast from the "Other Investments" segment to Corporate to conform to the current period presentation.</w:t>
            </w:r>
          </w:p>
        </w:tc>
      </w:tr>
    </w:tbl>
    <w:p>
      <w:pPr>
        <w:pStyle w:val="TextBody"/>
        <w:bidi w:val="0"/>
        <w:spacing w:lineRule="auto" w:line="288" w:before="100" w:after="283"/>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14"/>
        <w:gridCol w:w="864"/>
        <w:gridCol w:w="850"/>
        <w:gridCol w:w="109"/>
        <w:gridCol w:w="109"/>
        <w:gridCol w:w="109"/>
        <w:gridCol w:w="181"/>
        <w:gridCol w:w="646"/>
        <w:gridCol w:w="109"/>
        <w:gridCol w:w="109"/>
        <w:gridCol w:w="109"/>
        <w:gridCol w:w="109"/>
        <w:gridCol w:w="264"/>
        <w:gridCol w:w="942"/>
        <w:gridCol w:w="158"/>
        <w:gridCol w:w="109"/>
        <w:gridCol w:w="109"/>
        <w:gridCol w:w="109"/>
        <w:gridCol w:w="109"/>
        <w:gridCol w:w="109"/>
        <w:gridCol w:w="217"/>
        <w:gridCol w:w="777"/>
        <w:gridCol w:w="131"/>
        <w:gridCol w:w="109"/>
        <w:gridCol w:w="109"/>
        <w:gridCol w:w="109"/>
        <w:gridCol w:w="227"/>
        <w:gridCol w:w="765"/>
        <w:gridCol w:w="137"/>
        <w:gridCol w:w="109"/>
        <w:gridCol w:w="109"/>
        <w:gridCol w:w="109"/>
        <w:gridCol w:w="196"/>
        <w:gridCol w:w="701"/>
        <w:gridCol w:w="173"/>
      </w:tblGrid>
      <w:tr>
        <w:trPr/>
        <w:tc>
          <w:tcPr>
            <w:tcW w:w="10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 June 30, 2025</w:t>
            </w:r>
          </w:p>
        </w:tc>
        <w:tc>
          <w:tcPr>
            <w:tcW w:w="1397" w:type="dxa"/>
            <w:gridSpan w:val="6"/>
            <w:tcBorders/>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88,908 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673,546 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263,921 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7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116,193 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6,350 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406,117 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141,378 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7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90,343 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335,385 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335,385 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76,805 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76,805 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6,191 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10,117 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Interest income </w:t>
            </w:r>
            <w:r>
              <w:rPr>
                <w:rFonts w:ascii="Arial Narrow;sans-serif" w:hAnsi="Arial Narrow;sans-serif"/>
                <w:b w:val="false"/>
                <w:color w:val="000000"/>
                <w:sz w:val="12"/>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 in net income of unconsolidated affiliates </w:t>
            </w:r>
            <w:r>
              <w:rPr>
                <w:rFonts w:ascii="Arial Narrow;sans-serif" w:hAnsi="Arial Narrow;sans-serif"/>
                <w:b w:val="false"/>
                <w:color w:val="000000"/>
                <w:sz w:val="12"/>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153,015 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45,056 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198,071 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7"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198,071 </w:t>
            </w:r>
          </w:p>
        </w:tc>
        <w:tc>
          <w:tcPr>
            <w:tcW w:w="13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5"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(87,562)</w:t>
            </w:r>
          </w:p>
        </w:tc>
        <w:tc>
          <w:tcPr>
            <w:tcW w:w="137"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110,509 </w:t>
            </w:r>
          </w:p>
        </w:tc>
        <w:tc>
          <w:tcPr>
            <w:tcW w:w="17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70"/>
        <w:gridCol w:w="40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Interest income includes $1.8 million of interest income from notes receivable from Founders, which has been recast from the "Other Investments" segment to Corporate to conform to the current period presentation.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Equity in net income of unconsolidated affiliates includes $4.9 million of equity income from CCV, which has been recast from the "Other Investments" segment to Corporate to conform to the current period presentation.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EZCORP, Inc.</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STORE COUNT ACTIVITY</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6976" w:type="dxa"/>
        <w:jc w:val="center"/>
        <w:tblInd w:w="0" w:type="dxa"/>
        <w:tblLayout w:type="fixed"/>
        <w:tblCellMar>
          <w:top w:w="28" w:type="dxa"/>
          <w:left w:w="28" w:type="dxa"/>
          <w:bottom w:w="28" w:type="dxa"/>
          <w:right w:w="28" w:type="dxa"/>
        </w:tblCellMar>
      </w:tblPr>
      <w:tblGrid>
        <w:gridCol w:w="718"/>
        <w:gridCol w:w="630"/>
        <w:gridCol w:w="632"/>
        <w:gridCol w:w="279"/>
        <w:gridCol w:w="279"/>
        <w:gridCol w:w="281"/>
        <w:gridCol w:w="115"/>
        <w:gridCol w:w="115"/>
        <w:gridCol w:w="115"/>
        <w:gridCol w:w="499"/>
        <w:gridCol w:w="499"/>
        <w:gridCol w:w="501"/>
        <w:gridCol w:w="115"/>
        <w:gridCol w:w="115"/>
        <w:gridCol w:w="115"/>
        <w:gridCol w:w="203"/>
        <w:gridCol w:w="203"/>
        <w:gridCol w:w="151"/>
        <w:gridCol w:w="115"/>
        <w:gridCol w:w="115"/>
        <w:gridCol w:w="115"/>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 June 30, 2026</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2025</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1,360 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December 31, 2025</w:t>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1,383 </w:t>
            </w:r>
          </w:p>
        </w:tc>
        <w:tc>
          <w:tcPr>
            <w:tcW w:w="4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2026</w:t>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840 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1,506 </w:t>
            </w:r>
          </w:p>
        </w:tc>
        <w:tc>
          <w:tcPr>
            <w:tcW w:w="4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June 30, 2026</w:t>
            </w:r>
          </w:p>
        </w:tc>
        <w:tc>
          <w:tcPr>
            <w:tcW w:w="558" w:type="dxa"/>
            <w:gridSpan w:val="2"/>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28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881 </w:t>
            </w:r>
          </w:p>
        </w:tc>
        <w:tc>
          <w:tcPr>
            <w:tcW w:w="50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5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1,549 </w:t>
            </w:r>
          </w:p>
        </w:tc>
        <w:tc>
          <w:tcPr>
            <w:tcW w:w="442"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44" w:type="dxa"/>
        <w:jc w:val="left"/>
        <w:tblInd w:w="0" w:type="dxa"/>
        <w:tblLayout w:type="fixed"/>
        <w:tblCellMar>
          <w:top w:w="28" w:type="dxa"/>
          <w:left w:w="28" w:type="dxa"/>
          <w:bottom w:w="28" w:type="dxa"/>
          <w:right w:w="28" w:type="dxa"/>
        </w:tblCellMar>
      </w:tblPr>
      <w:tblGrid>
        <w:gridCol w:w="718"/>
        <w:gridCol w:w="630"/>
        <w:gridCol w:w="632"/>
        <w:gridCol w:w="279"/>
        <w:gridCol w:w="279"/>
        <w:gridCol w:w="281"/>
        <w:gridCol w:w="160"/>
        <w:gridCol w:w="160"/>
        <w:gridCol w:w="160"/>
        <w:gridCol w:w="499"/>
        <w:gridCol w:w="499"/>
        <w:gridCol w:w="501"/>
        <w:gridCol w:w="160"/>
        <w:gridCol w:w="160"/>
        <w:gridCol w:w="160"/>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 June 30, 2025</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December 31, 2024</w:t>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1,283 </w:t>
            </w:r>
          </w:p>
        </w:tc>
        <w:tc>
          <w:tcPr>
            <w:tcW w:w="4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2025</w:t>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1,284 </w:t>
            </w:r>
          </w:p>
        </w:tc>
        <w:tc>
          <w:tcPr>
            <w:tcW w:w="4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June 30, 2025</w:t>
            </w:r>
          </w:p>
        </w:tc>
        <w:tc>
          <w:tcPr>
            <w:tcW w:w="558" w:type="dxa"/>
            <w:gridSpan w:val="2"/>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50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1,336 </w:t>
            </w:r>
          </w:p>
        </w:tc>
        <w:tc>
          <w:tcPr>
            <w:tcW w:w="442"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Non-GAAP Financial Information (Unaudited)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reflects an additional way of viewing aspects of our business that, when viewed with GAAP results, provides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nine months ended June 30, 2026 and 2025 were as follows:</w:t>
      </w:r>
    </w:p>
    <w:tbl>
      <w:tblPr>
        <w:tblW w:w="6884" w:type="dxa"/>
        <w:jc w:val="left"/>
        <w:tblInd w:w="0" w:type="dxa"/>
        <w:tblLayout w:type="fixed"/>
        <w:tblCellMar>
          <w:top w:w="28" w:type="dxa"/>
          <w:left w:w="28" w:type="dxa"/>
          <w:bottom w:w="28" w:type="dxa"/>
          <w:right w:w="28" w:type="dxa"/>
        </w:tblCellMar>
      </w:tblPr>
      <w:tblGrid>
        <w:gridCol w:w="499"/>
        <w:gridCol w:w="438"/>
        <w:gridCol w:w="442"/>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28"/>
        <w:gridCol w:w="193"/>
        <w:gridCol w:w="161"/>
        <w:gridCol w:w="161"/>
        <w:gridCol w:w="161"/>
        <w:gridCol w:w="161"/>
        <w:gridCol w:w="228"/>
        <w:gridCol w:w="193"/>
        <w:gridCol w:w="227"/>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statement of operations constant currency results reflect the monthly exchange rate fluctuations and so are not directly calculable from the above rates. Constant currency results, where presented, also exclude the foreign currency gain or loss.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Miscellaneous Non-GAAP Financial Measures</w:t>
      </w:r>
    </w:p>
    <w:tbl>
      <w:tblPr>
        <w:tblW w:w="4210" w:type="dxa"/>
        <w:jc w:val="left"/>
        <w:tblInd w:w="0" w:type="dxa"/>
        <w:tblLayout w:type="fixed"/>
        <w:tblCellMar>
          <w:top w:w="28" w:type="dxa"/>
          <w:left w:w="28" w:type="dxa"/>
          <w:bottom w:w="28" w:type="dxa"/>
          <w:right w:w="28" w:type="dxa"/>
        </w:tblCellMar>
      </w:tblPr>
      <w:tblGrid>
        <w:gridCol w:w="717"/>
        <w:gridCol w:w="629"/>
        <w:gridCol w:w="634"/>
        <w:gridCol w:w="181"/>
        <w:gridCol w:w="421"/>
        <w:gridCol w:w="109"/>
        <w:gridCol w:w="109"/>
        <w:gridCol w:w="109"/>
        <w:gridCol w:w="109"/>
        <w:gridCol w:w="181"/>
        <w:gridCol w:w="421"/>
        <w:gridCol w:w="109"/>
        <w:gridCol w:w="109"/>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8"/>
        <w:gridCol w:w="130"/>
        <w:gridCol w:w="130"/>
        <w:gridCol w:w="130"/>
        <w:gridCol w:w="130"/>
        <w:gridCol w:w="130"/>
        <w:gridCol w:w="130"/>
        <w:gridCol w:w="130"/>
        <w:gridCol w:w="130"/>
        <w:gridCol w:w="236"/>
        <w:gridCol w:w="649"/>
        <w:gridCol w:w="142"/>
        <w:gridCol w:w="109"/>
        <w:gridCol w:w="109"/>
        <w:gridCol w:w="109"/>
        <w:gridCol w:w="207"/>
        <w:gridCol w:w="568"/>
        <w:gridCol w:w="124"/>
        <w:gridCol w:w="109"/>
        <w:gridCol w:w="109"/>
        <w:gridCol w:w="109"/>
        <w:gridCol w:w="295"/>
        <w:gridCol w:w="687"/>
        <w:gridCol w:w="178"/>
        <w:gridCol w:w="109"/>
        <w:gridCol w:w="109"/>
        <w:gridCol w:w="109"/>
        <w:gridCol w:w="192"/>
        <w:gridCol w:w="447"/>
        <w:gridCol w:w="115"/>
        <w:gridCol w:w="109"/>
        <w:gridCol w:w="109"/>
        <w:gridCol w:w="109"/>
        <w:gridCol w:w="396"/>
        <w:gridCol w:w="924"/>
        <w:gridCol w:w="241"/>
        <w:gridCol w:w="109"/>
        <w:gridCol w:w="109"/>
        <w:gridCol w:w="109"/>
        <w:gridCol w:w="222"/>
        <w:gridCol w:w="518"/>
        <w:gridCol w:w="133"/>
        <w:gridCol w:w="109"/>
        <w:gridCol w:w="109"/>
        <w:gridCol w:w="109"/>
        <w:gridCol w:w="183"/>
        <w:gridCol w:w="426"/>
        <w:gridCol w:w="172"/>
      </w:tblGrid>
      <w:tr>
        <w:trPr/>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1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2026 Q3 Reported</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Impact</w:t>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w:t>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2026 Q3 Adjusted </w:t>
            </w:r>
          </w:p>
        </w:tc>
        <w:tc>
          <w:tcPr>
            <w:tcW w:w="23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408.4 </w:t>
            </w:r>
          </w:p>
        </w:tc>
        <w:tc>
          <w:tcPr>
            <w:tcW w:w="14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240.3 </w:t>
            </w:r>
          </w:p>
        </w:tc>
        <w:tc>
          <w:tcPr>
            <w:tcW w:w="12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50.6 </w:t>
            </w:r>
          </w:p>
        </w:tc>
        <w:tc>
          <w:tcPr>
            <w:tcW w:w="17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1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37.5 </w:t>
            </w:r>
          </w:p>
        </w:tc>
        <w:tc>
          <w:tcPr>
            <w:tcW w:w="24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0.47 </w:t>
            </w:r>
          </w:p>
        </w:tc>
        <w:tc>
          <w:tcPr>
            <w:tcW w:w="13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65.6 </w:t>
            </w:r>
          </w:p>
        </w:tc>
        <w:tc>
          <w:tcPr>
            <w:tcW w:w="17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108" w:type="dxa"/>
            <w:gridSpan w:val="6"/>
            <w:tcBorders/>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00"/>
        <w:gridCol w:w="176"/>
        <w:gridCol w:w="176"/>
        <w:gridCol w:w="176"/>
        <w:gridCol w:w="176"/>
        <w:gridCol w:w="176"/>
        <w:gridCol w:w="176"/>
        <w:gridCol w:w="176"/>
        <w:gridCol w:w="176"/>
        <w:gridCol w:w="223"/>
        <w:gridCol w:w="611"/>
        <w:gridCol w:w="134"/>
        <w:gridCol w:w="109"/>
        <w:gridCol w:w="109"/>
        <w:gridCol w:w="109"/>
        <w:gridCol w:w="200"/>
        <w:gridCol w:w="550"/>
        <w:gridCol w:w="120"/>
        <w:gridCol w:w="109"/>
        <w:gridCol w:w="109"/>
        <w:gridCol w:w="109"/>
        <w:gridCol w:w="267"/>
        <w:gridCol w:w="622"/>
        <w:gridCol w:w="161"/>
        <w:gridCol w:w="109"/>
        <w:gridCol w:w="109"/>
        <w:gridCol w:w="109"/>
        <w:gridCol w:w="201"/>
        <w:gridCol w:w="384"/>
        <w:gridCol w:w="120"/>
        <w:gridCol w:w="109"/>
        <w:gridCol w:w="109"/>
        <w:gridCol w:w="109"/>
        <w:gridCol w:w="363"/>
        <w:gridCol w:w="846"/>
        <w:gridCol w:w="221"/>
        <w:gridCol w:w="109"/>
        <w:gridCol w:w="109"/>
        <w:gridCol w:w="109"/>
        <w:gridCol w:w="212"/>
        <w:gridCol w:w="494"/>
        <w:gridCol w:w="127"/>
        <w:gridCol w:w="109"/>
        <w:gridCol w:w="109"/>
        <w:gridCol w:w="109"/>
        <w:gridCol w:w="183"/>
        <w:gridCol w:w="426"/>
        <w:gridCol w:w="170"/>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6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Q3 Reported</w:t>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lease termination</w:t>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Non-recurring foreign tax expense</w:t>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2025 Q3 Adjusted </w:t>
            </w:r>
          </w:p>
        </w:tc>
        <w:tc>
          <w:tcPr>
            <w:tcW w:w="22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311.0 </w:t>
            </w:r>
          </w:p>
        </w:tc>
        <w:tc>
          <w:tcPr>
            <w:tcW w:w="13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183.6 </w:t>
            </w:r>
          </w:p>
        </w:tc>
        <w:tc>
          <w:tcPr>
            <w:tcW w:w="12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33.3 </w:t>
            </w:r>
          </w:p>
        </w:tc>
        <w:tc>
          <w:tcPr>
            <w:tcW w:w="16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8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8.8 </w:t>
            </w:r>
          </w:p>
        </w:tc>
        <w:tc>
          <w:tcPr>
            <w:tcW w:w="12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22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0.32 </w:t>
            </w:r>
          </w:p>
        </w:tc>
        <w:tc>
          <w:tcPr>
            <w:tcW w:w="12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44.3 </w:t>
            </w:r>
          </w:p>
        </w:tc>
        <w:tc>
          <w:tcPr>
            <w:tcW w:w="17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25"/>
        <w:gridCol w:w="1075"/>
        <w:gridCol w:w="1093"/>
        <w:gridCol w:w="298"/>
        <w:gridCol w:w="820"/>
        <w:gridCol w:w="179"/>
        <w:gridCol w:w="109"/>
        <w:gridCol w:w="109"/>
        <w:gridCol w:w="109"/>
        <w:gridCol w:w="373"/>
        <w:gridCol w:w="373"/>
        <w:gridCol w:w="831"/>
        <w:gridCol w:w="109"/>
        <w:gridCol w:w="109"/>
        <w:gridCol w:w="109"/>
        <w:gridCol w:w="265"/>
        <w:gridCol w:w="904"/>
        <w:gridCol w:w="159"/>
        <w:gridCol w:w="109"/>
        <w:gridCol w:w="109"/>
        <w:gridCol w:w="109"/>
        <w:gridCol w:w="351"/>
        <w:gridCol w:w="351"/>
        <w:gridCol w:w="927"/>
      </w:tblGrid>
      <w:tr>
        <w:trPr/>
        <w:tc>
          <w:tcPr>
            <w:tcW w:w="122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 2026</w:t>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w:t>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revenues </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revenues</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1,217.8 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9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gross profit </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gross profit</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240.3 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712.6 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9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inventory</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net inventory</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312.5 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9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gross profit </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gross profit </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9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PLO</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PLO</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9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PSC revenues </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PSC revenues </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9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merchandise sales </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merchandise sales </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195.3 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9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segment profit before tax</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segment profit before tax</w:t>
            </w:r>
          </w:p>
        </w:tc>
        <w:tc>
          <w:tcPr>
            <w:tcW w:w="29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83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58.9 </w:t>
            </w:r>
          </w:p>
        </w:tc>
        <w:tc>
          <w:tcPr>
            <w:tcW w:w="15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92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5701</Words>
  <Characters>32259</Characters>
  <CharactersWithSpaces>37358</CharactersWithSpaces>
  <Paragraphs>1706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